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0"/>
        <w:gridCol w:w="1942"/>
        <w:gridCol w:w="1884"/>
      </w:tblGrid>
      <w:tr w:rsidR="003B045E" w14:paraId="6C8D525B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3557"/>
            <w:tcMar>
              <w:top w:w="200" w:type="dxa"/>
              <w:left w:w="200" w:type="dxa"/>
              <w:bottom w:w="60" w:type="dxa"/>
              <w:right w:w="100" w:type="dxa"/>
            </w:tcMar>
          </w:tcPr>
          <w:p w14:paraId="6C62A211" w14:textId="77777777" w:rsidR="003B045E" w:rsidRDefault="00000000">
            <w:r>
              <w:rPr>
                <w:b/>
                <w:bCs/>
                <w:color w:val="FFFFFF"/>
                <w:sz w:val="28"/>
                <w:szCs w:val="28"/>
              </w:rPr>
              <w:t>PROCÉDURE OPÉRATOIRE STANDARD</w:t>
            </w:r>
          </w:p>
          <w:p w14:paraId="1EF04856" w14:textId="77777777" w:rsidR="003B045E" w:rsidRDefault="00000000">
            <w:pPr>
              <w:spacing w:before="40"/>
            </w:pPr>
            <w:r>
              <w:rPr>
                <w:i/>
                <w:iCs/>
                <w:color w:val="A8D5DC"/>
                <w:sz w:val="18"/>
                <w:szCs w:val="18"/>
              </w:rPr>
              <w:t>Surveillance Statistique I-MR des Procédés Analytiques</w:t>
            </w:r>
          </w:p>
        </w:tc>
        <w:tc>
          <w:tcPr>
            <w:tcW w:w="1942" w:type="dxa"/>
            <w:tcBorders>
              <w:top w:val="none" w:sz="0" w:space="0" w:color="FFFFFF"/>
              <w:left w:val="single" w:sz="8" w:space="0" w:color="1F7A8C"/>
              <w:bottom w:val="none" w:sz="0" w:space="0" w:color="FFFFFF"/>
              <w:right w:val="none" w:sz="0" w:space="0" w:color="FFFFFF"/>
            </w:tcBorders>
            <w:shd w:val="clear" w:color="auto" w:fill="1A3557"/>
            <w:tcMar>
              <w:top w:w="100" w:type="dxa"/>
              <w:left w:w="140" w:type="dxa"/>
              <w:bottom w:w="60" w:type="dxa"/>
              <w:right w:w="80" w:type="dxa"/>
            </w:tcMar>
          </w:tcPr>
          <w:p w14:paraId="0313BCEC" w14:textId="77777777" w:rsidR="003B045E" w:rsidRDefault="00000000">
            <w:r>
              <w:rPr>
                <w:color w:val="A8D5DC"/>
                <w:sz w:val="16"/>
                <w:szCs w:val="16"/>
              </w:rPr>
              <w:t>Référence</w:t>
            </w:r>
          </w:p>
          <w:p w14:paraId="27436D9F" w14:textId="77777777" w:rsidR="003B045E" w:rsidRDefault="00000000">
            <w:r>
              <w:rPr>
                <w:b/>
                <w:bCs/>
                <w:color w:val="C9A84C"/>
                <w:sz w:val="22"/>
                <w:szCs w:val="22"/>
              </w:rPr>
              <w:t>SOP-QC-042</w:t>
            </w:r>
          </w:p>
        </w:tc>
        <w:tc>
          <w:tcPr>
            <w:tcW w:w="1884" w:type="dxa"/>
            <w:tcBorders>
              <w:top w:val="none" w:sz="0" w:space="0" w:color="FFFFFF"/>
              <w:left w:val="single" w:sz="8" w:space="0" w:color="1F7A8C"/>
              <w:bottom w:val="none" w:sz="0" w:space="0" w:color="FFFFFF"/>
              <w:right w:val="none" w:sz="0" w:space="0" w:color="FFFFFF"/>
            </w:tcBorders>
            <w:shd w:val="clear" w:color="auto" w:fill="1A3557"/>
            <w:tcMar>
              <w:top w:w="100" w:type="dxa"/>
              <w:left w:w="140" w:type="dxa"/>
              <w:bottom w:w="60" w:type="dxa"/>
              <w:right w:w="80" w:type="dxa"/>
            </w:tcMar>
          </w:tcPr>
          <w:p w14:paraId="60D135F8" w14:textId="77777777" w:rsidR="003B045E" w:rsidRDefault="00000000">
            <w:r>
              <w:rPr>
                <w:color w:val="A8D5DC"/>
                <w:sz w:val="16"/>
                <w:szCs w:val="16"/>
              </w:rPr>
              <w:t>Révision / Date</w:t>
            </w:r>
          </w:p>
          <w:p w14:paraId="55104754" w14:textId="77777777" w:rsidR="003B045E" w:rsidRDefault="00000000">
            <w:r>
              <w:rPr>
                <w:b/>
                <w:bCs/>
                <w:color w:val="FFFFFF"/>
              </w:rPr>
              <w:t>Rev. 01 — ___/___/______</w:t>
            </w:r>
          </w:p>
        </w:tc>
      </w:tr>
      <w:tr w:rsidR="003B045E" w14:paraId="23E052D5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gridSpan w:val="3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C9A84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5C08" w14:textId="77777777" w:rsidR="003B045E" w:rsidRDefault="00000000">
            <w:r>
              <w:rPr>
                <w:sz w:val="4"/>
                <w:szCs w:val="4"/>
              </w:rPr>
              <w:t xml:space="preserve"> </w:t>
            </w:r>
          </w:p>
        </w:tc>
      </w:tr>
    </w:tbl>
    <w:p w14:paraId="6FD68A7F" w14:textId="77777777" w:rsidR="003B045E" w:rsidRDefault="003B045E">
      <w:pPr>
        <w:spacing w:before="2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8626"/>
      </w:tblGrid>
      <w:tr w:rsidR="003B045E" w14:paraId="00A4EACB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7A8C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48C112B" w14:textId="77777777" w:rsidR="003B045E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86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3557"/>
            <w:tcMar>
              <w:top w:w="100" w:type="dxa"/>
              <w:left w:w="180" w:type="dxa"/>
              <w:bottom w:w="100" w:type="dxa"/>
              <w:right w:w="120" w:type="dxa"/>
            </w:tcMar>
          </w:tcPr>
          <w:p w14:paraId="5C7B48CE" w14:textId="77777777" w:rsidR="003B045E" w:rsidRDefault="00000000">
            <w:r>
              <w:rPr>
                <w:b/>
                <w:bCs/>
                <w:color w:val="FFFFFF"/>
                <w:sz w:val="24"/>
                <w:szCs w:val="24"/>
              </w:rPr>
              <w:t>OBJET</w:t>
            </w:r>
          </w:p>
        </w:tc>
      </w:tr>
    </w:tbl>
    <w:p w14:paraId="51D02D0F" w14:textId="77777777" w:rsidR="003B045E" w:rsidRDefault="003B045E">
      <w:pPr>
        <w:spacing w:before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3B045E" w14:paraId="21FEB5F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none" w:sz="0" w:space="0" w:color="FFFFFF"/>
              <w:left w:val="single" w:sz="16" w:space="0" w:color="1F7A8C"/>
              <w:bottom w:val="none" w:sz="0" w:space="0" w:color="FFFFFF"/>
              <w:right w:val="none" w:sz="0" w:space="0" w:color="FFFFFF"/>
            </w:tcBorders>
            <w:shd w:val="clear" w:color="auto" w:fill="F5F7F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A5D84F2" w14:textId="77777777" w:rsidR="003B045E" w:rsidRDefault="00000000">
            <w:pPr>
              <w:spacing w:after="60"/>
            </w:pPr>
            <w:r>
              <w:rPr>
                <w:color w:val="404040"/>
              </w:rPr>
              <w:t>La présente procédure définit la méthodologie de surveillance des procédés analytiques par cartes de contrôle Individus–Étendue Mobile (I-MR) en vue de la détection précoce des résultats Hors Tendance (OOT).</w:t>
            </w:r>
          </w:p>
          <w:p w14:paraId="30C21DD1" w14:textId="77777777" w:rsidR="003B045E" w:rsidRDefault="00000000">
            <w:r>
              <w:rPr>
                <w:color w:val="404040"/>
              </w:rPr>
              <w:t>Elle s'applique dans le cadre du Système Qualité Pharmaceutique conformément aux exigences réglementaires en vigueur.</w:t>
            </w:r>
          </w:p>
        </w:tc>
      </w:tr>
    </w:tbl>
    <w:p w14:paraId="439792CE" w14:textId="77777777" w:rsidR="003B045E" w:rsidRDefault="003B045E">
      <w:pPr>
        <w:spacing w:before="1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8626"/>
      </w:tblGrid>
      <w:tr w:rsidR="003B045E" w14:paraId="208E349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7A8C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8E7CD04" w14:textId="77777777" w:rsidR="003B045E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2</w:t>
            </w:r>
          </w:p>
        </w:tc>
        <w:tc>
          <w:tcPr>
            <w:tcW w:w="86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3557"/>
            <w:tcMar>
              <w:top w:w="100" w:type="dxa"/>
              <w:left w:w="180" w:type="dxa"/>
              <w:bottom w:w="100" w:type="dxa"/>
              <w:right w:w="120" w:type="dxa"/>
            </w:tcMar>
          </w:tcPr>
          <w:p w14:paraId="5FB0E6AC" w14:textId="77777777" w:rsidR="003B045E" w:rsidRDefault="00000000">
            <w:r>
              <w:rPr>
                <w:b/>
                <w:bCs/>
                <w:color w:val="FFFFFF"/>
                <w:sz w:val="24"/>
                <w:szCs w:val="24"/>
              </w:rPr>
              <w:t>DOMAINE D'APPLICATION</w:t>
            </w:r>
          </w:p>
        </w:tc>
      </w:tr>
    </w:tbl>
    <w:p w14:paraId="0A856CF7" w14:textId="77777777" w:rsidR="003B045E" w:rsidRDefault="003B045E">
      <w:pPr>
        <w:spacing w:before="80"/>
      </w:pPr>
    </w:p>
    <w:p w14:paraId="3BB1F1DC" w14:textId="77777777" w:rsidR="003B045E" w:rsidRDefault="00000000">
      <w:pPr>
        <w:spacing w:before="60" w:after="60"/>
      </w:pPr>
      <w:r>
        <w:rPr>
          <w:i/>
          <w:iCs/>
          <w:color w:val="404040"/>
        </w:rPr>
        <w:t>Cette procédure s'applique aux paramètres analytiques suivants 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3"/>
        <w:gridCol w:w="8633"/>
      </w:tblGrid>
      <w:tr w:rsidR="003B045E" w14:paraId="3BF9BFFC" w14:textId="77777777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60" w:type="dxa"/>
            </w:tcMar>
          </w:tcPr>
          <w:p w14:paraId="34984C41" w14:textId="77777777" w:rsidR="003B045E" w:rsidRDefault="00000000">
            <w:pPr>
              <w:jc w:val="center"/>
            </w:pPr>
            <w:r>
              <w:rPr>
                <w:color w:val="1F7A8C"/>
                <w:sz w:val="22"/>
                <w:szCs w:val="22"/>
              </w:rPr>
              <w:t>□</w:t>
            </w:r>
          </w:p>
        </w:tc>
        <w:tc>
          <w:tcPr>
            <w:tcW w:w="866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40" w:type="dxa"/>
              <w:right w:w="0" w:type="dxa"/>
            </w:tcMar>
          </w:tcPr>
          <w:p w14:paraId="51B23074" w14:textId="77777777" w:rsidR="003B045E" w:rsidRDefault="00000000">
            <w:r>
              <w:rPr>
                <w:color w:val="404040"/>
              </w:rPr>
              <w:t>Tests de teneur (dosages principes actifs)</w:t>
            </w:r>
          </w:p>
        </w:tc>
      </w:tr>
      <w:tr w:rsidR="003B045E" w14:paraId="04E255A5" w14:textId="77777777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60" w:type="dxa"/>
            </w:tcMar>
          </w:tcPr>
          <w:p w14:paraId="77470B53" w14:textId="77777777" w:rsidR="003B045E" w:rsidRDefault="00000000">
            <w:pPr>
              <w:jc w:val="center"/>
            </w:pPr>
            <w:r>
              <w:rPr>
                <w:color w:val="1F7A8C"/>
                <w:sz w:val="22"/>
                <w:szCs w:val="22"/>
              </w:rPr>
              <w:t>□</w:t>
            </w:r>
          </w:p>
        </w:tc>
        <w:tc>
          <w:tcPr>
            <w:tcW w:w="866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40" w:type="dxa"/>
              <w:right w:w="0" w:type="dxa"/>
            </w:tcMar>
          </w:tcPr>
          <w:p w14:paraId="7B8A54C0" w14:textId="77777777" w:rsidR="003B045E" w:rsidRDefault="00000000">
            <w:r>
              <w:rPr>
                <w:color w:val="404040"/>
              </w:rPr>
              <w:t>Tests d'impuretés (produits de dégradation, impuretés apparentées)</w:t>
            </w:r>
          </w:p>
        </w:tc>
      </w:tr>
      <w:tr w:rsidR="003B045E" w14:paraId="0D42970B" w14:textId="77777777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60" w:type="dxa"/>
            </w:tcMar>
          </w:tcPr>
          <w:p w14:paraId="79FC5336" w14:textId="77777777" w:rsidR="003B045E" w:rsidRDefault="00000000">
            <w:pPr>
              <w:jc w:val="center"/>
            </w:pPr>
            <w:r>
              <w:rPr>
                <w:color w:val="1F7A8C"/>
                <w:sz w:val="22"/>
                <w:szCs w:val="22"/>
              </w:rPr>
              <w:t>□</w:t>
            </w:r>
          </w:p>
        </w:tc>
        <w:tc>
          <w:tcPr>
            <w:tcW w:w="866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40" w:type="dxa"/>
              <w:right w:w="0" w:type="dxa"/>
            </w:tcMar>
          </w:tcPr>
          <w:p w14:paraId="60112844" w14:textId="77777777" w:rsidR="003B045E" w:rsidRDefault="00000000">
            <w:r>
              <w:rPr>
                <w:color w:val="404040"/>
              </w:rPr>
              <w:t>Tests de dissolution (profils de libération)</w:t>
            </w:r>
          </w:p>
        </w:tc>
      </w:tr>
      <w:tr w:rsidR="003B045E" w14:paraId="2D6A7C7C" w14:textId="77777777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60" w:type="dxa"/>
            </w:tcMar>
          </w:tcPr>
          <w:p w14:paraId="4EA92868" w14:textId="77777777" w:rsidR="003B045E" w:rsidRDefault="00000000">
            <w:pPr>
              <w:jc w:val="center"/>
            </w:pPr>
            <w:r>
              <w:rPr>
                <w:color w:val="1F7A8C"/>
                <w:sz w:val="22"/>
                <w:szCs w:val="22"/>
              </w:rPr>
              <w:t>□</w:t>
            </w:r>
          </w:p>
        </w:tc>
        <w:tc>
          <w:tcPr>
            <w:tcW w:w="866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40" w:type="dxa"/>
              <w:right w:w="0" w:type="dxa"/>
            </w:tcMar>
          </w:tcPr>
          <w:p w14:paraId="4A800C73" w14:textId="77777777" w:rsidR="003B045E" w:rsidRDefault="00000000">
            <w:r>
              <w:rPr>
                <w:color w:val="404040"/>
              </w:rPr>
              <w:t>Paramètres critiques de procédé (CQA / CPP)</w:t>
            </w:r>
          </w:p>
        </w:tc>
      </w:tr>
    </w:tbl>
    <w:p w14:paraId="69365951" w14:textId="77777777" w:rsidR="003B045E" w:rsidRDefault="003B045E">
      <w:pPr>
        <w:spacing w:before="1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8626"/>
      </w:tblGrid>
      <w:tr w:rsidR="003B045E" w14:paraId="1BCB9F3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7A8C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50D6213" w14:textId="77777777" w:rsidR="003B045E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3</w:t>
            </w:r>
          </w:p>
        </w:tc>
        <w:tc>
          <w:tcPr>
            <w:tcW w:w="86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3557"/>
            <w:tcMar>
              <w:top w:w="100" w:type="dxa"/>
              <w:left w:w="180" w:type="dxa"/>
              <w:bottom w:w="100" w:type="dxa"/>
              <w:right w:w="120" w:type="dxa"/>
            </w:tcMar>
          </w:tcPr>
          <w:p w14:paraId="4D785116" w14:textId="77777777" w:rsidR="003B045E" w:rsidRDefault="00000000">
            <w:r>
              <w:rPr>
                <w:b/>
                <w:bCs/>
                <w:color w:val="FFFFFF"/>
                <w:sz w:val="24"/>
                <w:szCs w:val="24"/>
              </w:rPr>
              <w:t>FRÉQUENCE DE MISE À JOUR</w:t>
            </w:r>
          </w:p>
        </w:tc>
      </w:tr>
    </w:tbl>
    <w:p w14:paraId="6DA711B6" w14:textId="77777777" w:rsidR="003B045E" w:rsidRDefault="003B045E">
      <w:pPr>
        <w:spacing w:before="80"/>
      </w:pPr>
    </w:p>
    <w:p w14:paraId="3D5F5712" w14:textId="77777777" w:rsidR="003B045E" w:rsidRDefault="00000000">
      <w:pPr>
        <w:spacing w:before="60" w:after="60"/>
      </w:pPr>
      <w:r>
        <w:rPr>
          <w:i/>
          <w:iCs/>
          <w:color w:val="404040"/>
        </w:rPr>
        <w:t>La carte I-MR est mise à jour selon la fréquence applicable 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3"/>
        <w:gridCol w:w="8633"/>
      </w:tblGrid>
      <w:tr w:rsidR="003B045E" w14:paraId="00E3438B" w14:textId="77777777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60" w:type="dxa"/>
            </w:tcMar>
          </w:tcPr>
          <w:p w14:paraId="0D9C335F" w14:textId="77777777" w:rsidR="003B045E" w:rsidRDefault="00000000">
            <w:pPr>
              <w:jc w:val="center"/>
            </w:pPr>
            <w:r>
              <w:rPr>
                <w:color w:val="1F7A8C"/>
                <w:sz w:val="22"/>
                <w:szCs w:val="22"/>
              </w:rPr>
              <w:t>□</w:t>
            </w:r>
          </w:p>
        </w:tc>
        <w:tc>
          <w:tcPr>
            <w:tcW w:w="866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40" w:type="dxa"/>
              <w:right w:w="0" w:type="dxa"/>
            </w:tcMar>
          </w:tcPr>
          <w:p w14:paraId="3C6B7138" w14:textId="77777777" w:rsidR="003B045E" w:rsidRDefault="00000000">
            <w:r>
              <w:rPr>
                <w:color w:val="404040"/>
              </w:rPr>
              <w:t>Après chaque lot produit — mise à jour immédiate dès réception des résultats</w:t>
            </w:r>
          </w:p>
        </w:tc>
      </w:tr>
      <w:tr w:rsidR="003B045E" w14:paraId="48AF8256" w14:textId="77777777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60" w:type="dxa"/>
            </w:tcMar>
          </w:tcPr>
          <w:p w14:paraId="29A2E8F0" w14:textId="77777777" w:rsidR="003B045E" w:rsidRDefault="00000000">
            <w:pPr>
              <w:jc w:val="center"/>
            </w:pPr>
            <w:r>
              <w:rPr>
                <w:color w:val="1F7A8C"/>
                <w:sz w:val="22"/>
                <w:szCs w:val="22"/>
              </w:rPr>
              <w:t>□</w:t>
            </w:r>
          </w:p>
        </w:tc>
        <w:tc>
          <w:tcPr>
            <w:tcW w:w="866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40" w:type="dxa"/>
              <w:right w:w="0" w:type="dxa"/>
            </w:tcMar>
          </w:tcPr>
          <w:p w14:paraId="69CF16ED" w14:textId="77777777" w:rsidR="003B045E" w:rsidRDefault="00000000">
            <w:r>
              <w:rPr>
                <w:color w:val="404040"/>
              </w:rPr>
              <w:t>Hebdomadaire — regroupement des résultats de la semaine</w:t>
            </w:r>
          </w:p>
        </w:tc>
      </w:tr>
      <w:tr w:rsidR="003B045E" w14:paraId="6B60E242" w14:textId="77777777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60" w:type="dxa"/>
            </w:tcMar>
          </w:tcPr>
          <w:p w14:paraId="1028058C" w14:textId="77777777" w:rsidR="003B045E" w:rsidRDefault="00000000">
            <w:pPr>
              <w:jc w:val="center"/>
            </w:pPr>
            <w:r>
              <w:rPr>
                <w:color w:val="1F7A8C"/>
                <w:sz w:val="22"/>
                <w:szCs w:val="22"/>
              </w:rPr>
              <w:t>□</w:t>
            </w:r>
          </w:p>
        </w:tc>
        <w:tc>
          <w:tcPr>
            <w:tcW w:w="866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40" w:type="dxa"/>
              <w:right w:w="0" w:type="dxa"/>
            </w:tcMar>
          </w:tcPr>
          <w:p w14:paraId="6A697957" w14:textId="77777777" w:rsidR="003B045E" w:rsidRDefault="00000000">
            <w:r>
              <w:rPr>
                <w:color w:val="404040"/>
              </w:rPr>
              <w:t>Mensuel — revue des tendances et réévaluation des limites de contrôle</w:t>
            </w:r>
          </w:p>
        </w:tc>
      </w:tr>
    </w:tbl>
    <w:p w14:paraId="7ED4EE24" w14:textId="77777777" w:rsidR="003B045E" w:rsidRDefault="003B045E">
      <w:pPr>
        <w:spacing w:before="1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8626"/>
      </w:tblGrid>
      <w:tr w:rsidR="003B045E" w14:paraId="0B5260D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7A8C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C0D822" w14:textId="77777777" w:rsidR="003B045E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4</w:t>
            </w:r>
          </w:p>
        </w:tc>
        <w:tc>
          <w:tcPr>
            <w:tcW w:w="86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3557"/>
            <w:tcMar>
              <w:top w:w="100" w:type="dxa"/>
              <w:left w:w="180" w:type="dxa"/>
              <w:bottom w:w="100" w:type="dxa"/>
              <w:right w:w="120" w:type="dxa"/>
            </w:tcMar>
          </w:tcPr>
          <w:p w14:paraId="06307057" w14:textId="77777777" w:rsidR="003B045E" w:rsidRDefault="00000000">
            <w:r>
              <w:rPr>
                <w:b/>
                <w:bCs/>
                <w:color w:val="FFFFFF"/>
                <w:sz w:val="24"/>
                <w:szCs w:val="24"/>
              </w:rPr>
              <w:t>CRITÈRES D'ALERTE (RÈGLES DE WESTERN ELECTRIC)</w:t>
            </w:r>
          </w:p>
        </w:tc>
      </w:tr>
    </w:tbl>
    <w:p w14:paraId="725B0561" w14:textId="77777777" w:rsidR="003B045E" w:rsidRDefault="003B045E">
      <w:pPr>
        <w:spacing w:before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6626"/>
      </w:tblGrid>
      <w:tr w:rsidR="003B045E" w14:paraId="753F6E6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7A8C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8EA4730" w14:textId="77777777" w:rsidR="003B045E" w:rsidRDefault="00000000">
            <w:pPr>
              <w:jc w:val="center"/>
            </w:pPr>
            <w:r>
              <w:rPr>
                <w:b/>
                <w:bCs/>
                <w:color w:val="FFFFFF"/>
              </w:rPr>
              <w:t>Règle / Condition</w:t>
            </w:r>
          </w:p>
        </w:tc>
        <w:tc>
          <w:tcPr>
            <w:tcW w:w="66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7A8C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EB9B41C" w14:textId="77777777" w:rsidR="003B045E" w:rsidRDefault="00000000">
            <w:pPr>
              <w:jc w:val="center"/>
            </w:pPr>
            <w:r>
              <w:rPr>
                <w:b/>
                <w:bCs/>
                <w:color w:val="FFFFFF"/>
              </w:rPr>
              <w:t>Action requise</w:t>
            </w:r>
          </w:p>
        </w:tc>
      </w:tr>
      <w:tr w:rsidR="003B045E" w14:paraId="61260F4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0EB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D7C977B" w14:textId="77777777" w:rsidR="003B045E" w:rsidRDefault="00000000">
            <w:r>
              <w:rPr>
                <w:b/>
                <w:bCs/>
                <w:color w:val="1A3557"/>
              </w:rPr>
              <w:t>Règle 1 — 1 point &gt; 3σ</w:t>
            </w:r>
          </w:p>
        </w:tc>
        <w:tc>
          <w:tcPr>
            <w:tcW w:w="66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FCC069A" w14:textId="77777777" w:rsidR="003B045E" w:rsidRDefault="00000000">
            <w:r>
              <w:rPr>
                <w:b/>
                <w:bCs/>
                <w:color w:val="C00000"/>
              </w:rPr>
              <w:t>Investigation OOS IMMÉDIATE — blocage lot si nécessaire</w:t>
            </w:r>
          </w:p>
        </w:tc>
      </w:tr>
      <w:tr w:rsidR="003B045E" w14:paraId="2D837CA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0EB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C24B54B" w14:textId="77777777" w:rsidR="003B045E" w:rsidRDefault="00000000">
            <w:r>
              <w:rPr>
                <w:b/>
                <w:bCs/>
                <w:color w:val="1A3557"/>
              </w:rPr>
              <w:t>Règle 2 — 9 points même côté µ</w:t>
            </w:r>
          </w:p>
        </w:tc>
        <w:tc>
          <w:tcPr>
            <w:tcW w:w="66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74BAEF2" w14:textId="77777777" w:rsidR="003B045E" w:rsidRDefault="00000000">
            <w:r>
              <w:rPr>
                <w:b/>
                <w:bCs/>
                <w:color w:val="ED7D31"/>
              </w:rPr>
              <w:t>Investigation OOT à ouvrir sous 5 jours ouvrés</w:t>
            </w:r>
          </w:p>
        </w:tc>
      </w:tr>
      <w:tr w:rsidR="003B045E" w14:paraId="5E491EF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0EB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8525E40" w14:textId="77777777" w:rsidR="003B045E" w:rsidRDefault="00000000">
            <w:r>
              <w:rPr>
                <w:b/>
                <w:bCs/>
                <w:color w:val="1A3557"/>
              </w:rPr>
              <w:t>Règle 3 — 6 points en tendance monotone</w:t>
            </w:r>
          </w:p>
        </w:tc>
        <w:tc>
          <w:tcPr>
            <w:tcW w:w="66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AF68494" w14:textId="77777777" w:rsidR="003B045E" w:rsidRDefault="00000000">
            <w:r>
              <w:rPr>
                <w:b/>
                <w:bCs/>
                <w:color w:val="ED7D31"/>
              </w:rPr>
              <w:t>Investigation OOT à ouvrir sous 5 jours ouvrés</w:t>
            </w:r>
          </w:p>
        </w:tc>
      </w:tr>
      <w:tr w:rsidR="003B045E" w14:paraId="59E6873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0EB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635FE04" w14:textId="77777777" w:rsidR="003B045E" w:rsidRDefault="00000000">
            <w:r>
              <w:rPr>
                <w:b/>
                <w:bCs/>
                <w:color w:val="1A3557"/>
              </w:rPr>
              <w:t>Autres règles Western Electric</w:t>
            </w:r>
          </w:p>
        </w:tc>
        <w:tc>
          <w:tcPr>
            <w:tcW w:w="66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05EA4D6" w14:textId="77777777" w:rsidR="003B045E" w:rsidRDefault="00000000">
            <w:r>
              <w:rPr>
                <w:b/>
                <w:bCs/>
                <w:color w:val="538135"/>
              </w:rPr>
              <w:t>Revue lors de la prochaine revue mensuelle</w:t>
            </w:r>
          </w:p>
        </w:tc>
      </w:tr>
    </w:tbl>
    <w:p w14:paraId="7BDE7B9B" w14:textId="77777777" w:rsidR="003B045E" w:rsidRDefault="003B045E">
      <w:pPr>
        <w:spacing w:before="1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8626"/>
      </w:tblGrid>
      <w:tr w:rsidR="003B045E" w14:paraId="1C1019D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7A8C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138EAB6" w14:textId="77777777" w:rsidR="003B045E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5</w:t>
            </w:r>
          </w:p>
        </w:tc>
        <w:tc>
          <w:tcPr>
            <w:tcW w:w="86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3557"/>
            <w:tcMar>
              <w:top w:w="100" w:type="dxa"/>
              <w:left w:w="180" w:type="dxa"/>
              <w:bottom w:w="100" w:type="dxa"/>
              <w:right w:w="120" w:type="dxa"/>
            </w:tcMar>
          </w:tcPr>
          <w:p w14:paraId="1F911645" w14:textId="77777777" w:rsidR="003B045E" w:rsidRDefault="00000000">
            <w:r>
              <w:rPr>
                <w:b/>
                <w:bCs/>
                <w:color w:val="FFFFFF"/>
                <w:sz w:val="24"/>
                <w:szCs w:val="24"/>
              </w:rPr>
              <w:t>RESPONSABILITÉS</w:t>
            </w:r>
          </w:p>
        </w:tc>
      </w:tr>
    </w:tbl>
    <w:p w14:paraId="30BC904B" w14:textId="77777777" w:rsidR="003B045E" w:rsidRDefault="003B045E">
      <w:pPr>
        <w:spacing w:before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6426"/>
      </w:tblGrid>
      <w:tr w:rsidR="003B045E" w14:paraId="56DD8B6A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7A8C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4CF86DC1" w14:textId="77777777" w:rsidR="003B045E" w:rsidRDefault="00000000">
            <w:pPr>
              <w:jc w:val="center"/>
            </w:pPr>
            <w:r>
              <w:rPr>
                <w:b/>
                <w:bCs/>
                <w:color w:val="FFFFFF"/>
              </w:rPr>
              <w:t>Fonction</w:t>
            </w:r>
          </w:p>
        </w:tc>
        <w:tc>
          <w:tcPr>
            <w:tcW w:w="64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7A8C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1975D27" w14:textId="77777777" w:rsidR="003B045E" w:rsidRDefault="00000000">
            <w:pPr>
              <w:jc w:val="center"/>
            </w:pPr>
            <w:r>
              <w:rPr>
                <w:b/>
                <w:bCs/>
                <w:color w:val="FFFFFF"/>
              </w:rPr>
              <w:t>Responsabilités</w:t>
            </w:r>
          </w:p>
        </w:tc>
      </w:tr>
      <w:tr w:rsidR="003B045E" w14:paraId="3A15A2D4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0EB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C3A513B" w14:textId="77777777" w:rsidR="003B045E" w:rsidRDefault="00000000">
            <w:r>
              <w:rPr>
                <w:b/>
                <w:bCs/>
                <w:color w:val="1A3557"/>
              </w:rPr>
              <w:t>Analyste QC</w:t>
            </w:r>
          </w:p>
        </w:tc>
        <w:tc>
          <w:tcPr>
            <w:tcW w:w="64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0EB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44AF13E" w14:textId="77777777" w:rsidR="003B045E" w:rsidRDefault="00000000">
            <w:r>
              <w:rPr>
                <w:color w:val="404040"/>
              </w:rPr>
              <w:t>Mise à jour de la carte après chaque résultat — signalement immédiat de toute alerte au superviseur</w:t>
            </w:r>
          </w:p>
        </w:tc>
      </w:tr>
      <w:tr w:rsidR="003B045E" w14:paraId="76FC9327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B14678B" w14:textId="77777777" w:rsidR="003B045E" w:rsidRDefault="00000000">
            <w:r>
              <w:rPr>
                <w:b/>
                <w:bCs/>
                <w:color w:val="1A3557"/>
              </w:rPr>
              <w:t>Superviseur QC</w:t>
            </w:r>
          </w:p>
        </w:tc>
        <w:tc>
          <w:tcPr>
            <w:tcW w:w="64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8D5391C" w14:textId="77777777" w:rsidR="003B045E" w:rsidRDefault="00000000">
            <w:r>
              <w:rPr>
                <w:color w:val="404040"/>
              </w:rPr>
              <w:t>Revue hebdomadaire des cartes — ouverture des investigations OOT dans les délais réglementaires</w:t>
            </w:r>
          </w:p>
        </w:tc>
      </w:tr>
      <w:tr w:rsidR="003B045E" w14:paraId="76F65C4E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0EB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2A630E9" w14:textId="77777777" w:rsidR="003B045E" w:rsidRDefault="00000000">
            <w:r>
              <w:rPr>
                <w:b/>
                <w:bCs/>
                <w:color w:val="1A3557"/>
              </w:rPr>
              <w:t>Assurance Qualité</w:t>
            </w:r>
          </w:p>
        </w:tc>
        <w:tc>
          <w:tcPr>
            <w:tcW w:w="64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0EB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CAF2A4B" w14:textId="77777777" w:rsidR="003B045E" w:rsidRDefault="00000000">
            <w:r>
              <w:rPr>
                <w:color w:val="404040"/>
              </w:rPr>
              <w:t xml:space="preserve">Approbation des CAPA — clôture des investigations — </w:t>
            </w:r>
            <w:proofErr w:type="spellStart"/>
            <w:r>
              <w:rPr>
                <w:color w:val="404040"/>
              </w:rPr>
              <w:t>reporting</w:t>
            </w:r>
            <w:proofErr w:type="spellEnd"/>
            <w:r>
              <w:rPr>
                <w:color w:val="404040"/>
              </w:rPr>
              <w:t xml:space="preserve"> périodique</w:t>
            </w:r>
          </w:p>
        </w:tc>
      </w:tr>
    </w:tbl>
    <w:p w14:paraId="64400D1A" w14:textId="77777777" w:rsidR="003B045E" w:rsidRDefault="003B045E">
      <w:pPr>
        <w:spacing w:before="1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8626"/>
      </w:tblGrid>
      <w:tr w:rsidR="003B045E" w14:paraId="26557A6B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7A8C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8438686" w14:textId="77777777" w:rsidR="003B045E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6</w:t>
            </w:r>
          </w:p>
        </w:tc>
        <w:tc>
          <w:tcPr>
            <w:tcW w:w="86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3557"/>
            <w:tcMar>
              <w:top w:w="100" w:type="dxa"/>
              <w:left w:w="180" w:type="dxa"/>
              <w:bottom w:w="100" w:type="dxa"/>
              <w:right w:w="120" w:type="dxa"/>
            </w:tcMar>
          </w:tcPr>
          <w:p w14:paraId="218C819F" w14:textId="77777777" w:rsidR="003B045E" w:rsidRDefault="00000000">
            <w:r>
              <w:rPr>
                <w:b/>
                <w:bCs/>
                <w:color w:val="FFFFFF"/>
                <w:sz w:val="24"/>
                <w:szCs w:val="24"/>
              </w:rPr>
              <w:t>DOCUMENTATION ET ARCHIVAGE</w:t>
            </w:r>
          </w:p>
        </w:tc>
      </w:tr>
    </w:tbl>
    <w:p w14:paraId="3846238D" w14:textId="77777777" w:rsidR="003B045E" w:rsidRDefault="003B045E">
      <w:pPr>
        <w:spacing w:before="80"/>
      </w:pPr>
    </w:p>
    <w:p w14:paraId="75CEB967" w14:textId="77777777" w:rsidR="003B045E" w:rsidRDefault="00000000">
      <w:pPr>
        <w:spacing w:before="60" w:after="60"/>
      </w:pPr>
      <w:r>
        <w:rPr>
          <w:i/>
          <w:iCs/>
          <w:color w:val="404040"/>
        </w:rPr>
        <w:t>Les éléments suivants doivent être documentés et archivés 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3"/>
        <w:gridCol w:w="8633"/>
      </w:tblGrid>
      <w:tr w:rsidR="003B045E" w14:paraId="64B9E9C8" w14:textId="77777777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60" w:type="dxa"/>
            </w:tcMar>
          </w:tcPr>
          <w:p w14:paraId="16AB94D0" w14:textId="77777777" w:rsidR="003B045E" w:rsidRDefault="00000000">
            <w:pPr>
              <w:jc w:val="center"/>
            </w:pPr>
            <w:r>
              <w:rPr>
                <w:color w:val="1F7A8C"/>
                <w:sz w:val="22"/>
                <w:szCs w:val="22"/>
              </w:rPr>
              <w:t>□</w:t>
            </w:r>
          </w:p>
        </w:tc>
        <w:tc>
          <w:tcPr>
            <w:tcW w:w="866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40" w:type="dxa"/>
              <w:right w:w="0" w:type="dxa"/>
            </w:tcMar>
          </w:tcPr>
          <w:p w14:paraId="4F78B4B8" w14:textId="77777777" w:rsidR="003B045E" w:rsidRDefault="00000000">
            <w:r>
              <w:rPr>
                <w:color w:val="404040"/>
              </w:rPr>
              <w:t>Carte I-MR archivée (durée de vie du produit + 1 an minimum)</w:t>
            </w:r>
          </w:p>
        </w:tc>
      </w:tr>
      <w:tr w:rsidR="003B045E" w14:paraId="7DF0FAF1" w14:textId="77777777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60" w:type="dxa"/>
            </w:tcMar>
          </w:tcPr>
          <w:p w14:paraId="4B4A8FEC" w14:textId="77777777" w:rsidR="003B045E" w:rsidRDefault="00000000">
            <w:pPr>
              <w:jc w:val="center"/>
            </w:pPr>
            <w:r>
              <w:rPr>
                <w:color w:val="1F7A8C"/>
                <w:sz w:val="22"/>
                <w:szCs w:val="22"/>
              </w:rPr>
              <w:t>□</w:t>
            </w:r>
          </w:p>
        </w:tc>
        <w:tc>
          <w:tcPr>
            <w:tcW w:w="866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40" w:type="dxa"/>
              <w:right w:w="0" w:type="dxa"/>
            </w:tcMar>
          </w:tcPr>
          <w:p w14:paraId="06802AA7" w14:textId="77777777" w:rsidR="003B045E" w:rsidRDefault="00000000">
            <w:r>
              <w:rPr>
                <w:color w:val="404040"/>
              </w:rPr>
              <w:t>Rapports d'investigation OOT liés — référencés dans le système qualité</w:t>
            </w:r>
          </w:p>
        </w:tc>
      </w:tr>
      <w:tr w:rsidR="003B045E" w14:paraId="6A9ECCD1" w14:textId="77777777">
        <w:tblPrEx>
          <w:tblCellMar>
            <w:top w:w="0" w:type="dxa"/>
            <w:bottom w:w="0" w:type="dxa"/>
          </w:tblCellMar>
        </w:tblPrEx>
        <w:tc>
          <w:tcPr>
            <w:tcW w:w="3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60" w:type="dxa"/>
            </w:tcMar>
          </w:tcPr>
          <w:p w14:paraId="20D7EB2F" w14:textId="77777777" w:rsidR="003B045E" w:rsidRDefault="00000000">
            <w:pPr>
              <w:jc w:val="center"/>
            </w:pPr>
            <w:r>
              <w:rPr>
                <w:color w:val="1F7A8C"/>
                <w:sz w:val="22"/>
                <w:szCs w:val="22"/>
              </w:rPr>
              <w:t>□</w:t>
            </w:r>
          </w:p>
        </w:tc>
        <w:tc>
          <w:tcPr>
            <w:tcW w:w="866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40" w:type="dxa"/>
              <w:right w:w="0" w:type="dxa"/>
            </w:tcMar>
          </w:tcPr>
          <w:p w14:paraId="166638D4" w14:textId="77777777" w:rsidR="003B045E" w:rsidRDefault="00000000">
            <w:r>
              <w:rPr>
                <w:color w:val="404040"/>
              </w:rPr>
              <w:t>CAPA associées documentées et traçables jusqu'à clôture</w:t>
            </w:r>
          </w:p>
        </w:tc>
      </w:tr>
    </w:tbl>
    <w:p w14:paraId="692469C8" w14:textId="77777777" w:rsidR="003B045E" w:rsidRDefault="003B045E">
      <w:pPr>
        <w:spacing w:before="1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8626"/>
      </w:tblGrid>
      <w:tr w:rsidR="003B045E" w14:paraId="6BD5FE7B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7A8C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4FB0129" w14:textId="77777777" w:rsidR="003B045E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7</w:t>
            </w:r>
          </w:p>
        </w:tc>
        <w:tc>
          <w:tcPr>
            <w:tcW w:w="86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3557"/>
            <w:tcMar>
              <w:top w:w="100" w:type="dxa"/>
              <w:left w:w="180" w:type="dxa"/>
              <w:bottom w:w="100" w:type="dxa"/>
              <w:right w:w="120" w:type="dxa"/>
            </w:tcMar>
          </w:tcPr>
          <w:p w14:paraId="1C686421" w14:textId="77777777" w:rsidR="003B045E" w:rsidRDefault="00000000">
            <w:r>
              <w:rPr>
                <w:b/>
                <w:bCs/>
                <w:color w:val="FFFFFF"/>
                <w:sz w:val="24"/>
                <w:szCs w:val="24"/>
              </w:rPr>
              <w:t>RÉFÉRENCES RÉGLEMENTAIRES ET DOCUMENTAIRES</w:t>
            </w:r>
          </w:p>
        </w:tc>
      </w:tr>
    </w:tbl>
    <w:p w14:paraId="0B90B33E" w14:textId="77777777" w:rsidR="003B045E" w:rsidRDefault="003B045E">
      <w:pPr>
        <w:spacing w:before="1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8626"/>
      </w:tblGrid>
      <w:tr w:rsidR="003B045E" w:rsidRPr="00A72199" w14:paraId="7E22A17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0EBF0"/>
            <w:tcMar>
              <w:top w:w="80" w:type="dxa"/>
              <w:left w:w="140" w:type="dxa"/>
              <w:bottom w:w="80" w:type="dxa"/>
              <w:right w:w="80" w:type="dxa"/>
            </w:tcMar>
            <w:vAlign w:val="center"/>
          </w:tcPr>
          <w:p w14:paraId="4938FD0E" w14:textId="77777777" w:rsidR="003B045E" w:rsidRDefault="00000000">
            <w:pPr>
              <w:jc w:val="center"/>
            </w:pPr>
            <w:r>
              <w:rPr>
                <w:b/>
                <w:bCs/>
                <w:color w:val="1F7A8C"/>
              </w:rPr>
              <w:t>•</w:t>
            </w:r>
          </w:p>
        </w:tc>
        <w:tc>
          <w:tcPr>
            <w:tcW w:w="86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0EB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50F062" w14:textId="77777777" w:rsidR="003B045E" w:rsidRPr="00A72199" w:rsidRDefault="00000000">
            <w:pPr>
              <w:rPr>
                <w:lang w:val="en-US"/>
              </w:rPr>
            </w:pPr>
            <w:r w:rsidRPr="00A72199">
              <w:rPr>
                <w:i/>
                <w:iCs/>
                <w:color w:val="404040"/>
                <w:lang w:val="en-US"/>
              </w:rPr>
              <w:t>FDA Guidance for Industry — Investigating Out-of-Specification (OOS) Test Results for Pharmaceutical Production (2006)</w:t>
            </w:r>
          </w:p>
        </w:tc>
      </w:tr>
      <w:tr w:rsidR="003B045E" w:rsidRPr="00A72199" w14:paraId="727FA1A9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80" w:type="dxa"/>
            </w:tcMar>
            <w:vAlign w:val="center"/>
          </w:tcPr>
          <w:p w14:paraId="11991F1C" w14:textId="77777777" w:rsidR="003B045E" w:rsidRDefault="00000000">
            <w:pPr>
              <w:jc w:val="center"/>
            </w:pPr>
            <w:r>
              <w:rPr>
                <w:b/>
                <w:bCs/>
                <w:color w:val="1F7A8C"/>
              </w:rPr>
              <w:t>•</w:t>
            </w:r>
          </w:p>
        </w:tc>
        <w:tc>
          <w:tcPr>
            <w:tcW w:w="86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4B36BC" w14:textId="77777777" w:rsidR="003B045E" w:rsidRPr="00A72199" w:rsidRDefault="00000000">
            <w:pPr>
              <w:rPr>
                <w:lang w:val="en-US"/>
              </w:rPr>
            </w:pPr>
            <w:r w:rsidRPr="00A72199">
              <w:rPr>
                <w:i/>
                <w:iCs/>
                <w:color w:val="404040"/>
                <w:lang w:val="en-US"/>
              </w:rPr>
              <w:t>EMA Guideline on the investigation of bioequivalence — OOT (2014)</w:t>
            </w:r>
          </w:p>
        </w:tc>
      </w:tr>
      <w:tr w:rsidR="003B045E" w:rsidRPr="00A72199" w14:paraId="4AEC517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0EBF0"/>
            <w:tcMar>
              <w:top w:w="80" w:type="dxa"/>
              <w:left w:w="140" w:type="dxa"/>
              <w:bottom w:w="80" w:type="dxa"/>
              <w:right w:w="80" w:type="dxa"/>
            </w:tcMar>
            <w:vAlign w:val="center"/>
          </w:tcPr>
          <w:p w14:paraId="2569C8A8" w14:textId="77777777" w:rsidR="003B045E" w:rsidRDefault="00000000">
            <w:pPr>
              <w:jc w:val="center"/>
            </w:pPr>
            <w:r>
              <w:rPr>
                <w:b/>
                <w:bCs/>
                <w:color w:val="1F7A8C"/>
              </w:rPr>
              <w:t>•</w:t>
            </w:r>
          </w:p>
        </w:tc>
        <w:tc>
          <w:tcPr>
            <w:tcW w:w="86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0EB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439D09" w14:textId="77777777" w:rsidR="003B045E" w:rsidRPr="00A72199" w:rsidRDefault="00000000">
            <w:pPr>
              <w:rPr>
                <w:lang w:val="en-US"/>
              </w:rPr>
            </w:pPr>
            <w:r w:rsidRPr="00A72199">
              <w:rPr>
                <w:i/>
                <w:iCs/>
                <w:color w:val="404040"/>
                <w:lang w:val="en-US"/>
              </w:rPr>
              <w:t>ICH Q10 — Pharmaceutical Quality System</w:t>
            </w:r>
          </w:p>
        </w:tc>
      </w:tr>
      <w:tr w:rsidR="003B045E" w:rsidRPr="00A72199" w14:paraId="62C991E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80" w:type="dxa"/>
            </w:tcMar>
            <w:vAlign w:val="center"/>
          </w:tcPr>
          <w:p w14:paraId="66FE0AFC" w14:textId="77777777" w:rsidR="003B045E" w:rsidRDefault="00000000">
            <w:pPr>
              <w:jc w:val="center"/>
            </w:pPr>
            <w:r>
              <w:rPr>
                <w:b/>
                <w:bCs/>
                <w:color w:val="1F7A8C"/>
              </w:rPr>
              <w:t>•</w:t>
            </w:r>
          </w:p>
        </w:tc>
        <w:tc>
          <w:tcPr>
            <w:tcW w:w="86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F84DB3" w14:textId="77777777" w:rsidR="003B045E" w:rsidRPr="00A72199" w:rsidRDefault="00000000">
            <w:pPr>
              <w:rPr>
                <w:lang w:val="en-US"/>
              </w:rPr>
            </w:pPr>
            <w:r w:rsidRPr="00A72199">
              <w:rPr>
                <w:i/>
                <w:iCs/>
                <w:color w:val="404040"/>
                <w:lang w:val="en-US"/>
              </w:rPr>
              <w:t>Minitab® Statistical Software — User Manual &amp; Control Chart Reference</w:t>
            </w:r>
          </w:p>
        </w:tc>
      </w:tr>
    </w:tbl>
    <w:p w14:paraId="69F069B8" w14:textId="77777777" w:rsidR="003B045E" w:rsidRPr="00A72199" w:rsidRDefault="003B045E">
      <w:pPr>
        <w:spacing w:before="240"/>
        <w:rPr>
          <w:lang w:val="en-US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8"/>
        <w:gridCol w:w="3009"/>
        <w:gridCol w:w="3009"/>
      </w:tblGrid>
      <w:tr w:rsidR="003B045E" w14:paraId="487C067D" w14:textId="77777777">
        <w:tblPrEx>
          <w:tblCellMar>
            <w:top w:w="0" w:type="dxa"/>
            <w:bottom w:w="0" w:type="dxa"/>
          </w:tblCellMar>
        </w:tblPrEx>
        <w:tc>
          <w:tcPr>
            <w:tcW w:w="30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A355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14A743" w14:textId="77777777" w:rsidR="003B045E" w:rsidRDefault="00000000">
            <w:pPr>
              <w:jc w:val="center"/>
            </w:pPr>
            <w:r>
              <w:rPr>
                <w:b/>
                <w:bCs/>
                <w:color w:val="FFFFFF"/>
              </w:rPr>
              <w:t>Rédigé par</w:t>
            </w:r>
          </w:p>
        </w:tc>
        <w:tc>
          <w:tcPr>
            <w:tcW w:w="30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A355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6192FF" w14:textId="77777777" w:rsidR="003B045E" w:rsidRDefault="00000000">
            <w:pPr>
              <w:jc w:val="center"/>
            </w:pPr>
            <w:r>
              <w:rPr>
                <w:b/>
                <w:bCs/>
                <w:color w:val="FFFFFF"/>
              </w:rPr>
              <w:t>Vérifié par</w:t>
            </w:r>
          </w:p>
        </w:tc>
        <w:tc>
          <w:tcPr>
            <w:tcW w:w="30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A355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5142CB" w14:textId="77777777" w:rsidR="003B045E" w:rsidRDefault="00000000">
            <w:pPr>
              <w:jc w:val="center"/>
            </w:pPr>
            <w:r>
              <w:rPr>
                <w:b/>
                <w:bCs/>
                <w:color w:val="FFFFFF"/>
              </w:rPr>
              <w:t>Approuvé par</w:t>
            </w:r>
          </w:p>
        </w:tc>
      </w:tr>
      <w:tr w:rsidR="003B045E" w14:paraId="1327EDFF" w14:textId="77777777">
        <w:tblPrEx>
          <w:tblCellMar>
            <w:top w:w="0" w:type="dxa"/>
            <w:bottom w:w="0" w:type="dxa"/>
          </w:tblCellMar>
        </w:tblPrEx>
        <w:tc>
          <w:tcPr>
            <w:tcW w:w="30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0EB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11D1B6" w14:textId="77777777" w:rsidR="003B045E" w:rsidRDefault="00000000">
            <w:pPr>
              <w:jc w:val="center"/>
            </w:pPr>
            <w:r>
              <w:rPr>
                <w:i/>
                <w:iCs/>
                <w:color w:val="404040"/>
                <w:sz w:val="18"/>
                <w:szCs w:val="18"/>
              </w:rPr>
              <w:t>Analyste / Superviseur QC</w:t>
            </w:r>
          </w:p>
        </w:tc>
        <w:tc>
          <w:tcPr>
            <w:tcW w:w="30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A7155A" w14:textId="77777777" w:rsidR="003B045E" w:rsidRDefault="00000000">
            <w:pPr>
              <w:jc w:val="center"/>
            </w:pPr>
            <w:r>
              <w:rPr>
                <w:i/>
                <w:iCs/>
                <w:color w:val="404040"/>
                <w:sz w:val="18"/>
                <w:szCs w:val="18"/>
              </w:rPr>
              <w:t>Responsable QC</w:t>
            </w:r>
          </w:p>
        </w:tc>
        <w:tc>
          <w:tcPr>
            <w:tcW w:w="30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0EB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EAD630" w14:textId="77777777" w:rsidR="003B045E" w:rsidRDefault="00000000">
            <w:pPr>
              <w:jc w:val="center"/>
            </w:pPr>
            <w:r>
              <w:rPr>
                <w:i/>
                <w:iCs/>
                <w:color w:val="404040"/>
                <w:sz w:val="18"/>
                <w:szCs w:val="18"/>
              </w:rPr>
              <w:t>Directeur Qualité</w:t>
            </w:r>
          </w:p>
        </w:tc>
      </w:tr>
      <w:tr w:rsidR="003B045E" w14:paraId="71F03EF5" w14:textId="77777777">
        <w:tblPrEx>
          <w:tblCellMar>
            <w:top w:w="0" w:type="dxa"/>
            <w:bottom w:w="0" w:type="dxa"/>
          </w:tblCellMar>
        </w:tblPrEx>
        <w:tc>
          <w:tcPr>
            <w:tcW w:w="30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0EB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DE1FB2B" w14:textId="77777777" w:rsidR="003B045E" w:rsidRDefault="00000000">
            <w:r>
              <w:rPr>
                <w:color w:val="404040"/>
                <w:sz w:val="18"/>
                <w:szCs w:val="18"/>
              </w:rPr>
              <w:t>Nom : ___________________________</w:t>
            </w:r>
          </w:p>
          <w:p w14:paraId="616D8EEA" w14:textId="77777777" w:rsidR="003B045E" w:rsidRDefault="00000000">
            <w:pPr>
              <w:spacing w:before="60"/>
            </w:pPr>
            <w:r>
              <w:rPr>
                <w:color w:val="404040"/>
                <w:sz w:val="18"/>
                <w:szCs w:val="18"/>
              </w:rPr>
              <w:t>Date : __________________________</w:t>
            </w:r>
          </w:p>
          <w:p w14:paraId="43108F3C" w14:textId="77777777" w:rsidR="003B045E" w:rsidRDefault="00000000">
            <w:pPr>
              <w:spacing w:before="60"/>
            </w:pPr>
            <w:r>
              <w:rPr>
                <w:color w:val="404040"/>
                <w:sz w:val="18"/>
                <w:szCs w:val="18"/>
              </w:rPr>
              <w:t>Signature : ____________________</w:t>
            </w:r>
          </w:p>
        </w:tc>
        <w:tc>
          <w:tcPr>
            <w:tcW w:w="30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D53BDAC" w14:textId="77777777" w:rsidR="003B045E" w:rsidRDefault="00000000">
            <w:r>
              <w:rPr>
                <w:color w:val="404040"/>
                <w:sz w:val="18"/>
                <w:szCs w:val="18"/>
              </w:rPr>
              <w:t>Nom : ___________________________</w:t>
            </w:r>
          </w:p>
          <w:p w14:paraId="40A05743" w14:textId="77777777" w:rsidR="003B045E" w:rsidRDefault="00000000">
            <w:pPr>
              <w:spacing w:before="60"/>
            </w:pPr>
            <w:r>
              <w:rPr>
                <w:color w:val="404040"/>
                <w:sz w:val="18"/>
                <w:szCs w:val="18"/>
              </w:rPr>
              <w:t>Date : __________________________</w:t>
            </w:r>
          </w:p>
          <w:p w14:paraId="62406ED8" w14:textId="77777777" w:rsidR="003B045E" w:rsidRDefault="00000000">
            <w:pPr>
              <w:spacing w:before="60"/>
            </w:pPr>
            <w:r>
              <w:rPr>
                <w:color w:val="404040"/>
                <w:sz w:val="18"/>
                <w:szCs w:val="18"/>
              </w:rPr>
              <w:t>Signature : ____________________</w:t>
            </w:r>
          </w:p>
        </w:tc>
        <w:tc>
          <w:tcPr>
            <w:tcW w:w="30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0EB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CE93593" w14:textId="77777777" w:rsidR="003B045E" w:rsidRDefault="00000000">
            <w:r>
              <w:rPr>
                <w:color w:val="404040"/>
                <w:sz w:val="18"/>
                <w:szCs w:val="18"/>
              </w:rPr>
              <w:t>Nom : ___________________________</w:t>
            </w:r>
          </w:p>
          <w:p w14:paraId="79B931D3" w14:textId="77777777" w:rsidR="003B045E" w:rsidRDefault="00000000">
            <w:pPr>
              <w:spacing w:before="60"/>
            </w:pPr>
            <w:r>
              <w:rPr>
                <w:color w:val="404040"/>
                <w:sz w:val="18"/>
                <w:szCs w:val="18"/>
              </w:rPr>
              <w:t>Date : __________________________</w:t>
            </w:r>
          </w:p>
          <w:p w14:paraId="50B95B4B" w14:textId="77777777" w:rsidR="003B045E" w:rsidRDefault="00000000">
            <w:pPr>
              <w:spacing w:before="60"/>
            </w:pPr>
            <w:r>
              <w:rPr>
                <w:color w:val="404040"/>
                <w:sz w:val="18"/>
                <w:szCs w:val="18"/>
              </w:rPr>
              <w:t>Signature : ____________________</w:t>
            </w:r>
          </w:p>
        </w:tc>
      </w:tr>
    </w:tbl>
    <w:p w14:paraId="28AC40BB" w14:textId="77777777" w:rsidR="003B045E" w:rsidRDefault="003B045E">
      <w:pPr>
        <w:spacing w:before="160"/>
      </w:pPr>
    </w:p>
    <w:p w14:paraId="733C05FF" w14:textId="77777777" w:rsidR="003B045E" w:rsidRDefault="00000000">
      <w:pPr>
        <w:pBdr>
          <w:top w:val="single" w:sz="4" w:space="6" w:color="1F7A8C"/>
        </w:pBdr>
        <w:spacing w:before="80"/>
        <w:jc w:val="center"/>
      </w:pPr>
      <w:r>
        <w:rPr>
          <w:i/>
          <w:iCs/>
          <w:color w:val="808080"/>
          <w:sz w:val="16"/>
          <w:szCs w:val="16"/>
        </w:rPr>
        <w:t>Document à usage interne — Toute reproduction ou diffusion externe est interdite sans autorisation écrite de la Direction Qualité</w:t>
      </w:r>
    </w:p>
    <w:sectPr w:rsidR="003B045E">
      <w:pgSz w:w="11906" w:h="16838"/>
      <w:pgMar w:top="1000" w:right="1000" w:bottom="1000" w:left="10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57857"/>
    <w:multiLevelType w:val="hybridMultilevel"/>
    <w:tmpl w:val="FD8814D8"/>
    <w:lvl w:ilvl="0" w:tplc="E4983A62">
      <w:start w:val="1"/>
      <w:numFmt w:val="bullet"/>
      <w:lvlText w:val="•"/>
      <w:lvlJc w:val="left"/>
      <w:pPr>
        <w:ind w:left="720" w:hanging="360"/>
      </w:pPr>
    </w:lvl>
    <w:lvl w:ilvl="1" w:tplc="4004304A">
      <w:numFmt w:val="decimal"/>
      <w:lvlText w:val=""/>
      <w:lvlJc w:val="left"/>
    </w:lvl>
    <w:lvl w:ilvl="2" w:tplc="E83ABCAE">
      <w:numFmt w:val="decimal"/>
      <w:lvlText w:val=""/>
      <w:lvlJc w:val="left"/>
    </w:lvl>
    <w:lvl w:ilvl="3" w:tplc="F8B011B4">
      <w:numFmt w:val="decimal"/>
      <w:lvlText w:val=""/>
      <w:lvlJc w:val="left"/>
    </w:lvl>
    <w:lvl w:ilvl="4" w:tplc="92FC75FA">
      <w:numFmt w:val="decimal"/>
      <w:lvlText w:val=""/>
      <w:lvlJc w:val="left"/>
    </w:lvl>
    <w:lvl w:ilvl="5" w:tplc="656EC4C4">
      <w:numFmt w:val="decimal"/>
      <w:lvlText w:val=""/>
      <w:lvlJc w:val="left"/>
    </w:lvl>
    <w:lvl w:ilvl="6" w:tplc="39F014AA">
      <w:numFmt w:val="decimal"/>
      <w:lvlText w:val=""/>
      <w:lvlJc w:val="left"/>
    </w:lvl>
    <w:lvl w:ilvl="7" w:tplc="31A02D9A">
      <w:numFmt w:val="decimal"/>
      <w:lvlText w:val=""/>
      <w:lvlJc w:val="left"/>
    </w:lvl>
    <w:lvl w:ilvl="8" w:tplc="CDAAA8AC">
      <w:numFmt w:val="decimal"/>
      <w:lvlText w:val=""/>
      <w:lvlJc w:val="left"/>
    </w:lvl>
  </w:abstractNum>
  <w:abstractNum w:abstractNumId="1" w15:restartNumberingAfterBreak="0">
    <w:nsid w:val="6BCA6B9F"/>
    <w:multiLevelType w:val="hybridMultilevel"/>
    <w:tmpl w:val="2876923E"/>
    <w:lvl w:ilvl="0" w:tplc="EB0E0BC6">
      <w:start w:val="1"/>
      <w:numFmt w:val="bullet"/>
      <w:lvlText w:val="●"/>
      <w:lvlJc w:val="left"/>
      <w:pPr>
        <w:ind w:left="720" w:hanging="360"/>
      </w:pPr>
    </w:lvl>
    <w:lvl w:ilvl="1" w:tplc="149C27DE">
      <w:start w:val="1"/>
      <w:numFmt w:val="bullet"/>
      <w:lvlText w:val="○"/>
      <w:lvlJc w:val="left"/>
      <w:pPr>
        <w:ind w:left="1440" w:hanging="360"/>
      </w:pPr>
    </w:lvl>
    <w:lvl w:ilvl="2" w:tplc="D458F586">
      <w:start w:val="1"/>
      <w:numFmt w:val="bullet"/>
      <w:lvlText w:val="■"/>
      <w:lvlJc w:val="left"/>
      <w:pPr>
        <w:ind w:left="2160" w:hanging="360"/>
      </w:pPr>
    </w:lvl>
    <w:lvl w:ilvl="3" w:tplc="A336BE9C">
      <w:start w:val="1"/>
      <w:numFmt w:val="bullet"/>
      <w:lvlText w:val="●"/>
      <w:lvlJc w:val="left"/>
      <w:pPr>
        <w:ind w:left="2880" w:hanging="360"/>
      </w:pPr>
    </w:lvl>
    <w:lvl w:ilvl="4" w:tplc="E5708466">
      <w:start w:val="1"/>
      <w:numFmt w:val="bullet"/>
      <w:lvlText w:val="○"/>
      <w:lvlJc w:val="left"/>
      <w:pPr>
        <w:ind w:left="3600" w:hanging="360"/>
      </w:pPr>
    </w:lvl>
    <w:lvl w:ilvl="5" w:tplc="A1560CDE">
      <w:start w:val="1"/>
      <w:numFmt w:val="bullet"/>
      <w:lvlText w:val="■"/>
      <w:lvlJc w:val="left"/>
      <w:pPr>
        <w:ind w:left="4320" w:hanging="360"/>
      </w:pPr>
    </w:lvl>
    <w:lvl w:ilvl="6" w:tplc="03E23686">
      <w:start w:val="1"/>
      <w:numFmt w:val="bullet"/>
      <w:lvlText w:val="●"/>
      <w:lvlJc w:val="left"/>
      <w:pPr>
        <w:ind w:left="5040" w:hanging="360"/>
      </w:pPr>
    </w:lvl>
    <w:lvl w:ilvl="7" w:tplc="380C6CAE">
      <w:start w:val="1"/>
      <w:numFmt w:val="bullet"/>
      <w:lvlText w:val="●"/>
      <w:lvlJc w:val="left"/>
      <w:pPr>
        <w:ind w:left="5760" w:hanging="360"/>
      </w:pPr>
    </w:lvl>
    <w:lvl w:ilvl="8" w:tplc="C616B3F4">
      <w:start w:val="1"/>
      <w:numFmt w:val="bullet"/>
      <w:lvlText w:val="●"/>
      <w:lvlJc w:val="left"/>
      <w:pPr>
        <w:ind w:left="6480" w:hanging="360"/>
      </w:pPr>
    </w:lvl>
  </w:abstractNum>
  <w:num w:numId="1" w16cid:durableId="79764442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45E"/>
    <w:rsid w:val="003B045E"/>
    <w:rsid w:val="003C329C"/>
    <w:rsid w:val="00A7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E5631"/>
  <w15:docId w15:val="{4E316769-7BBD-437B-8CAC-87243A596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2</cp:revision>
  <dcterms:created xsi:type="dcterms:W3CDTF">2026-03-24T12:42:00Z</dcterms:created>
  <dcterms:modified xsi:type="dcterms:W3CDTF">2026-03-24T12:42:00Z</dcterms:modified>
</cp:coreProperties>
</file>